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03" w:rsidRDefault="00A77303">
      <w:pPr>
        <w:pStyle w:val="Standard"/>
        <w:spacing w:after="0"/>
        <w:ind w:right="6"/>
        <w:rPr>
          <w:rFonts w:ascii="Tahoma" w:hAnsi="Tahoma" w:cs="Tahoma"/>
          <w:b/>
          <w:sz w:val="18"/>
        </w:rPr>
      </w:pPr>
    </w:p>
    <w:p w:rsidR="00130D3C" w:rsidRPr="00A76209" w:rsidRDefault="00130D3C" w:rsidP="00130D3C">
      <w:pPr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A7620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92075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A76209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130D3C" w:rsidRPr="00A76209" w:rsidRDefault="00130D3C" w:rsidP="00130D3C">
      <w:pPr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A7620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130D3C" w:rsidRPr="00A76209" w:rsidRDefault="00130D3C" w:rsidP="00130D3C">
      <w:pPr>
        <w:ind w:left="5529"/>
        <w:rPr>
          <w:rFonts w:ascii="Times New Roman" w:hAnsi="Times New Roman" w:cs="Times New Roman"/>
          <w:sz w:val="24"/>
          <w:szCs w:val="24"/>
        </w:rPr>
      </w:pPr>
      <w:r w:rsidRPr="00A76209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</w:p>
    <w:p w:rsidR="00130D3C" w:rsidRPr="00A76209" w:rsidRDefault="00130D3C" w:rsidP="00130D3C">
      <w:pPr>
        <w:ind w:left="5529"/>
        <w:rPr>
          <w:rFonts w:ascii="Times New Roman" w:hAnsi="Times New Roman" w:cs="Times New Roman"/>
          <w:sz w:val="24"/>
          <w:szCs w:val="24"/>
        </w:rPr>
      </w:pPr>
      <w:r w:rsidRPr="00A76209">
        <w:rPr>
          <w:rFonts w:ascii="Times New Roman" w:hAnsi="Times New Roman" w:cs="Times New Roman"/>
          <w:sz w:val="24"/>
          <w:szCs w:val="24"/>
        </w:rPr>
        <w:t>ul. Łąkowa 10</w:t>
      </w:r>
    </w:p>
    <w:p w:rsidR="00A77303" w:rsidRPr="00130D3C" w:rsidRDefault="00130D3C" w:rsidP="00130D3C">
      <w:pPr>
        <w:ind w:left="5529"/>
        <w:rPr>
          <w:rFonts w:ascii="Times New Roman" w:hAnsi="Times New Roman" w:cs="Times New Roman"/>
          <w:sz w:val="24"/>
          <w:szCs w:val="24"/>
        </w:rPr>
      </w:pPr>
      <w:r w:rsidRPr="00A76209">
        <w:rPr>
          <w:rFonts w:ascii="Times New Roman" w:hAnsi="Times New Roman" w:cs="Times New Roman"/>
          <w:sz w:val="24"/>
          <w:szCs w:val="24"/>
        </w:rPr>
        <w:t>13-306 Kurzętnik</w:t>
      </w:r>
    </w:p>
    <w:p w:rsidR="00A77303" w:rsidRPr="00375087" w:rsidRDefault="00A77303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A77303" w:rsidRPr="00375087" w:rsidRDefault="00B812EF" w:rsidP="0037508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i/>
          <w:iCs/>
          <w:sz w:val="24"/>
          <w:szCs w:val="24"/>
        </w:rPr>
        <w:t>(pieczęć adresowa Wykonawcy)</w:t>
      </w:r>
      <w:bookmarkStart w:id="1" w:name="_Hlk526163338"/>
      <w:bookmarkEnd w:id="1"/>
    </w:p>
    <w:p w:rsidR="00A77303" w:rsidRPr="00375087" w:rsidRDefault="00A7730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03" w:rsidRPr="00375087" w:rsidRDefault="00B812E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b/>
          <w:sz w:val="24"/>
          <w:szCs w:val="24"/>
        </w:rPr>
        <w:t>SPOSÓB I ZAKRES PREZENTACJI SYSTEMU</w:t>
      </w:r>
    </w:p>
    <w:p w:rsidR="00A77303" w:rsidRPr="00375087" w:rsidRDefault="00B812EF">
      <w:pPr>
        <w:pStyle w:val="Standard"/>
        <w:spacing w:after="0" w:line="259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03" w:rsidRPr="00375087" w:rsidRDefault="00B812EF" w:rsidP="0037508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Poniżej zawarte zostały wymagania dotyczące sposobu przeprowadzenia prezentacji próbki Systemu oraz sposobu przygotowania zestawu demonstracyjnego, który Wykonawca jest zobowiązany dołączyć do oferty.</w:t>
      </w:r>
    </w:p>
    <w:p w:rsidR="00A77303" w:rsidRPr="00375087" w:rsidRDefault="00B812EF" w:rsidP="00375087">
      <w:pPr>
        <w:pStyle w:val="Nagwek1"/>
        <w:ind w:left="3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I. Wymagania dotyczące przygotowania próbki systemu.</w:t>
      </w:r>
    </w:p>
    <w:p w:rsidR="00A77303" w:rsidRPr="00375087" w:rsidRDefault="00B812EF" w:rsidP="00375087">
      <w:pPr>
        <w:pStyle w:val="Standard"/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 celu zaprezentowania Zamawiającemu, że oferowane przez Wykonawcę oprogramowanie posiada wymagane funkcjonalności obligatoryjne, Wykonawca zobowiązany jest na wezwanie Zamawiającego dostarczyć próbkę Systemu podlegającą weryfikacji i ocenie.</w:t>
      </w:r>
    </w:p>
    <w:p w:rsidR="00A77303" w:rsidRPr="00375087" w:rsidRDefault="00B812EF" w:rsidP="00375087">
      <w:pPr>
        <w:pStyle w:val="Standard"/>
        <w:spacing w:after="158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Próbka Systemu musi być złożona z:</w:t>
      </w:r>
    </w:p>
    <w:p w:rsidR="00A77303" w:rsidRPr="00375087" w:rsidRDefault="00B812EF" w:rsidP="00375087">
      <w:pPr>
        <w:pStyle w:val="Standard"/>
        <w:numPr>
          <w:ilvl w:val="0"/>
          <w:numId w:val="13"/>
        </w:numPr>
        <w:spacing w:after="45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komputera np. laptop, komputer stacjonarny,</w:t>
      </w:r>
    </w:p>
    <w:p w:rsidR="00A77303" w:rsidRPr="00375087" w:rsidRDefault="00B812EF" w:rsidP="00375087">
      <w:pPr>
        <w:pStyle w:val="Standard"/>
        <w:numPr>
          <w:ilvl w:val="0"/>
          <w:numId w:val="2"/>
        </w:numPr>
        <w:spacing w:after="17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danych demonstracyjnych,</w:t>
      </w:r>
    </w:p>
    <w:p w:rsidR="00A77303" w:rsidRPr="00375087" w:rsidRDefault="00B812EF" w:rsidP="00375087">
      <w:pPr>
        <w:pStyle w:val="Standard"/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oprogramowania, które dostarczone zostanie w ramach realizacji zamówienia na potrzebę Systemu.</w:t>
      </w:r>
    </w:p>
    <w:p w:rsidR="00A77303" w:rsidRDefault="00B812EF" w:rsidP="00375087">
      <w:pPr>
        <w:pStyle w:val="Standard"/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Ponadto próbka Systemu musi zostać w pełni skonfigurowana i zawierać wszystkie niezbędne elementy (sprzętowe i programowe) zapewniające możliwość praktycznej prezentacji wymaganych funkcjonalności obligatoryjnych tak, aby w trakcie prezentacji próbki nie były instalowane żadne dodatkowe komponenty Systemu.</w:t>
      </w:r>
    </w:p>
    <w:p w:rsidR="00130D3C" w:rsidRPr="00375087" w:rsidRDefault="00130D3C" w:rsidP="00375087">
      <w:pPr>
        <w:pStyle w:val="Standard"/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</w:p>
    <w:p w:rsidR="00A77303" w:rsidRDefault="00B812EF" w:rsidP="00375087">
      <w:pPr>
        <w:pStyle w:val="Standard"/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Próbka musi zawierać to samo oprogramowanie, w tej samej technologii, co System oferowany w niniejszym postępowaniu, który stanowił będzie przedmiot dostawy i wdrożenia.</w:t>
      </w:r>
    </w:p>
    <w:p w:rsidR="00130D3C" w:rsidRPr="00375087" w:rsidRDefault="00130D3C" w:rsidP="00375087">
      <w:pPr>
        <w:pStyle w:val="Standard"/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</w:p>
    <w:p w:rsidR="00A77303" w:rsidRPr="00375087" w:rsidRDefault="00B812EF" w:rsidP="00375087">
      <w:pPr>
        <w:pStyle w:val="Standard"/>
        <w:spacing w:after="121"/>
        <w:ind w:left="-5" w:right="-12" w:hanging="1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Odmowa dostarczenia zestawu z próbką Systemu, lub dostarczenie zestawu, który nie będzie kompletny, skutkowała będzie odrzuceniem oferty. Zamawiający nie przewiduje pokrycia kosztów przygotowania zestawu z próbką Systemu.</w:t>
      </w:r>
    </w:p>
    <w:p w:rsidR="00A77303" w:rsidRPr="00375087" w:rsidRDefault="00B812EF" w:rsidP="00375087">
      <w:pPr>
        <w:pStyle w:val="Standard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Zestaw z próbką Systemu Wykonawcy, Zamawiający zwróci po zakończeniu weryfikacji. Zamawiający nie przewiduje wykorzystania zestawu demonstracyjnego, do celów innych niż przeprowadzenie prezentacji Systemu.</w:t>
      </w:r>
    </w:p>
    <w:p w:rsidR="00A77303" w:rsidRPr="00375087" w:rsidRDefault="00B812EF" w:rsidP="00375087">
      <w:pPr>
        <w:pStyle w:val="Nagwek1"/>
        <w:ind w:left="3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lastRenderedPageBreak/>
        <w:t>II. Przedmiot weryfikacji i oceny Systemu</w:t>
      </w:r>
    </w:p>
    <w:p w:rsidR="00A77303" w:rsidRPr="00375087" w:rsidRDefault="00B812EF" w:rsidP="00375087">
      <w:pPr>
        <w:pStyle w:val="Standard"/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Przedmiotem weryfikacji i oceny przez Komisję Zamawiającego jest:</w:t>
      </w:r>
    </w:p>
    <w:p w:rsidR="00A77303" w:rsidRPr="00375087" w:rsidRDefault="00B812EF" w:rsidP="00375087">
      <w:pPr>
        <w:pStyle w:val="Akapitzlist"/>
        <w:numPr>
          <w:ilvl w:val="0"/>
          <w:numId w:val="14"/>
        </w:numPr>
        <w:spacing w:after="0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Weryfikacja obejmie wybrane funkcjonalności obligatoryjne - 15 pozycji wskazanych z załącznika nr 1B do SIWZ (wybrany zestaw weryfikowanych funkcjonalności jest jednakowy dla wszystkich Wykonawców)</w:t>
      </w:r>
    </w:p>
    <w:p w:rsidR="00A77303" w:rsidRPr="00375087" w:rsidRDefault="00B812EF" w:rsidP="00375087">
      <w:pPr>
        <w:pStyle w:val="Standard"/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 xml:space="preserve">Potwierdzenie, że w momencie złożenia oferty przez Wykonawcę, oprogramowanie na potrzebę Systemu posiada funkcjonalności obligatoryjne opisane w załączniku nr 1B do SIWZ.  </w:t>
      </w:r>
    </w:p>
    <w:p w:rsidR="00A77303" w:rsidRPr="00375087" w:rsidRDefault="00B812EF" w:rsidP="00375087">
      <w:pPr>
        <w:pStyle w:val="Nagwek1"/>
        <w:ind w:left="3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III. Zasady przeprowadzenia prezentacji Sytemu</w:t>
      </w:r>
    </w:p>
    <w:p w:rsidR="00A77303" w:rsidRPr="00375087" w:rsidRDefault="00B812EF" w:rsidP="00375087">
      <w:pPr>
        <w:pStyle w:val="Standard"/>
        <w:numPr>
          <w:ilvl w:val="0"/>
          <w:numId w:val="15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Prezentacje próbek Systemu przeprowadzone zostaną w dni robocze w siedzibie Zamawiającego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Zamawiający powiadomi wszystkich Wykonawców, którzy złożyli oferty o terminach prezentacji z wyprzedzeniem co najmniej 5 dni roboczych przed terminem prezentacji każdego Wykonawcy.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Na prezentację systemy jednego Wykonawcy, Zamawiający przeznacza 3 godziny zegarowe od 11.00 do 14.00.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 xml:space="preserve">Na wniosek Wykonawcy, w dniu prezentacji Systemu w godzinach od 10:30 do 11:00, Zamawiający udostępni Wykonawcy pomieszczenie, w którym będzie prowadzona prezentacja celem jej przygotowania.  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Zamawiający przyjmie kolejność prezentacji Wykonawców w zależności od daty i godziny wpływu oferty do miejsca składania ofert zgodnie z zasadą: pierwsza oferta – pierwsza prezentacja.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Zamawiający zapewni na potrzeby przeprowadzenia prezentacji Systemu salę, ekran, oraz możliwość podłączenia komputera z próbką Systemu, projektora i drukarki Wykonawcy do sieci elektrycznej – 230V / 50Hz.  Wykonawca zapewni infrastrukturę potrzebną do prezentacji np. drukarka, czytnik kodów kreskowych i inne.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Zamawiający nie dopuszcza prezentacji poglądowych z użyciem oprogramowania prezentacyjnego np. Microsoft Power Point. Zamawiający wymaga, aby prezentacja była przeprowadzona wyłącznie na działającej próbce Systemu.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 trakcie prezentacji komputer z próbką nie może się łączyć z innymi komputerami oraz siecią Internet Nie można także korzystać z przenośnych urządzeń pamięci (pendrive, CD, itp.) Można natomiast wpisywać lub korygować dane z klawiatury.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Wykonawca może korzystać z pomocy technicznej podczas uruchamiania próbki Systemu z zastrzeżeniem wyłącznie możliwości konsultacji telefonicznej głosowej ze swoim konsultantem technicznym.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Wykonawca w trakcie przygotowania do prezentacji oraz w jej trakcie nie może dokonywać żadnych zmian w Systemie wynikających ze zmiany kodów źródłowych.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 xml:space="preserve">Wykonawca w czasie przygotowania się do prezentacji oraz w jej trakcie może wykonywać czynności na komputerze z próbką wyłącznie w sytuacji, gdy obraz z tego komputera jest wyświetlany za pomocą projektora.  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lastRenderedPageBreak/>
        <w:t>Zamawiający będzie mógł rejestrować przebieg prezentacji Systemu za pomocą rejestrujących urządzeń audiowizualnych o czym powiadomi Wykonawcę przez rozpoczęciem prezentacji próbki Systemu.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 prezentacji próbki Systemu, ze strony Wykonawcy, uczestniczyć będzie mogło nie więcej niż 3 osoby. Osoby te muszą posiadać pisemne pełnomocnictwo udzielone przez Wykonawcę do przeprowadzenia i uczestnictwa w prezentacji u Zamawiającego. Pełnomocnictwo zostanie doręczone Zamawiającemu przed rozpoczęciem prezentacji (oryginał lub kopia poświadczona notarialnie za zgodność z oryginałem), o ile uprawnienie do tych czynności nie będzie wynikało z dokumentów załączonych do oferty Wykonawcy.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 xml:space="preserve">Ze strony Zamawiającego podczas prezentacji Systemu będą obecni członkowie Komisji powołanej przez Zamawiającego przedstawieni na początku prezentacji.  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Zamawiający sporządzi listę obecności osób biorących udział w poszczególnych prezentacjach.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 przypadku opóźnienia rozpoczęcia prezentacji z winy leżącej po stronie Wykonawcy, Zamawiający nie przesunie terminu zakończenia prezentacji.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Jeżeli Wykonawca nie stawi się w celu dokonania prezentacji próbki Systemu w wyznaczonym przez Zamawiającego terminie i miejscu (czas oczekiwania Zamawiającego wyniesie 1 godzinę) jego oferta zostanie odrzucona.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Zamawiający z każdej prezentacji Systemu w terminie 3 dni od daty prezentacji sporządzi pisemny protokół, w którym opisany będzie przebieg prezentacji. Protokół oraz nagranie o którym mowa w pkt 12 stanowić będzie załącznik do protokołu z postępowania.</w:t>
      </w:r>
    </w:p>
    <w:p w:rsidR="00A77303" w:rsidRPr="00375087" w:rsidRDefault="00B812EF" w:rsidP="00375087">
      <w:pPr>
        <w:pStyle w:val="Standard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 prezentacji próbki Systemu mogą uczestniczyć tylko i wyłącznie członkowie Komisji powołanej przez Zamawiającego oraz upoważnieni przedstawiciele Wykonawcy.</w:t>
      </w:r>
    </w:p>
    <w:p w:rsidR="00A77303" w:rsidRPr="00375087" w:rsidRDefault="00B812EF" w:rsidP="00375087">
      <w:pPr>
        <w:pStyle w:val="Nagwek1"/>
        <w:ind w:left="3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IV. Weryfikacja funkcjonalności obligatoryjnych Systemu</w:t>
      </w:r>
    </w:p>
    <w:p w:rsidR="00A77303" w:rsidRPr="00375087" w:rsidRDefault="00B812EF" w:rsidP="00375087">
      <w:pPr>
        <w:pStyle w:val="Standard"/>
        <w:numPr>
          <w:ilvl w:val="0"/>
          <w:numId w:val="16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 trakcie weryfikacji Zamawiający dokona sprawdzenia wybranych 15  funkcjonalności obligatoryjnych oprogramowania spośród zdefiniowanych w Załączniku nr 1B do SIWZ</w:t>
      </w:r>
    </w:p>
    <w:p w:rsidR="00A77303" w:rsidRPr="00375087" w:rsidRDefault="00B812EF" w:rsidP="00375087">
      <w:pPr>
        <w:pStyle w:val="Standard"/>
        <w:numPr>
          <w:ilvl w:val="0"/>
          <w:numId w:val="6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Spełnienie przez próbkę Systemu wybranych funkcjonalności obligatoryjnych będzie weryfikowane przez Komisję Zamawiającego na zasadzie "jest/nie ma" (TAK/NIE). W przypadku, co najmniej jednej negatywnej weryfikacji – ocena „nie ma” lub „NIE” Komisji, oferta Wykonawcy zostanie odrzucona, jako niespełniająca warunków udziału w postępowaniu.</w:t>
      </w:r>
    </w:p>
    <w:p w:rsidR="00A77303" w:rsidRPr="00375087" w:rsidRDefault="00B812EF" w:rsidP="00375087">
      <w:pPr>
        <w:pStyle w:val="Standard"/>
        <w:numPr>
          <w:ilvl w:val="0"/>
          <w:numId w:val="6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t>W przypadku niepowodzenia prezentacji danej funkcjonalności obligatoryjnej Systemu, Wykonawca może powtórzyć weryfikację maksymalnie 3 (trzy) razy dokonując rekonfiguracji próbki Systemu, kolejne rekonfiguracje i weryfikacje nie wydłużają łącznego czasu (3 godziny zegarowe) na przeprowadzenie pełnej prezentacji funkcjonalności Systemu.</w:t>
      </w:r>
    </w:p>
    <w:p w:rsidR="00A77303" w:rsidRDefault="00B812EF" w:rsidP="00375087">
      <w:pPr>
        <w:pStyle w:val="Standard"/>
        <w:numPr>
          <w:ilvl w:val="0"/>
          <w:numId w:val="6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087">
        <w:rPr>
          <w:rFonts w:ascii="Times New Roman" w:hAnsi="Times New Roman" w:cs="Times New Roman"/>
          <w:sz w:val="24"/>
          <w:szCs w:val="24"/>
        </w:rPr>
        <w:lastRenderedPageBreak/>
        <w:t>Jeżeli podczas prezentacji danej funkcjonalności obligatoryjnej wystąpi błąd, który nie będzie możliwy do naprawienia w trakcie prezentacji (naprawa nie może wymagać ingerencji w kod źródłowy oprogramowania) oferta Wykonawcy zostanie odrzucona.</w:t>
      </w:r>
    </w:p>
    <w:p w:rsidR="00375087" w:rsidRDefault="00375087" w:rsidP="0037508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87" w:rsidRDefault="00375087" w:rsidP="0037508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87" w:rsidRDefault="00375087" w:rsidP="0037508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87" w:rsidRPr="00375087" w:rsidRDefault="00375087" w:rsidP="0037508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303" w:rsidRPr="00375087" w:rsidRDefault="00B812EF" w:rsidP="0037508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……………………….dn. </w:t>
      </w:r>
      <w:r w:rsidR="00375087"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………. </w:t>
      </w:r>
      <w:r w:rsidR="003750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 w:rsidR="00375087"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750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…………………………………………………………                   </w:t>
      </w:r>
      <w:r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</w:t>
      </w:r>
      <w:r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37508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r w:rsidRPr="003750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(podpis i pieczęć upełnomocnionego przedstawiciela Wykonawcy</w:t>
      </w:r>
      <w:r w:rsidRPr="00375087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sectPr w:rsidR="00A77303" w:rsidRPr="0037508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05" w:rsidRDefault="00627405">
      <w:r>
        <w:separator/>
      </w:r>
    </w:p>
  </w:endnote>
  <w:endnote w:type="continuationSeparator" w:id="0">
    <w:p w:rsidR="00627405" w:rsidRDefault="0062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05" w:rsidRDefault="00627405">
      <w:r>
        <w:rPr>
          <w:color w:val="000000"/>
        </w:rPr>
        <w:separator/>
      </w:r>
    </w:p>
  </w:footnote>
  <w:footnote w:type="continuationSeparator" w:id="0">
    <w:p w:rsidR="00627405" w:rsidRDefault="0062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87" w:rsidRDefault="003750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18415</wp:posOffset>
          </wp:positionH>
          <wp:positionV relativeFrom="topMargin">
            <wp:align>bottom</wp:align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44A"/>
    <w:multiLevelType w:val="multilevel"/>
    <w:tmpl w:val="0CF6A2AC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C6E36"/>
    <w:multiLevelType w:val="multilevel"/>
    <w:tmpl w:val="D0D04BAA"/>
    <w:styleLink w:val="WWNum6"/>
    <w:lvl w:ilvl="0">
      <w:start w:val="1"/>
      <w:numFmt w:val="decimal"/>
      <w:lvlText w:val="%1."/>
      <w:lvlJc w:val="left"/>
      <w:pPr>
        <w:ind w:left="345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18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597390D"/>
    <w:multiLevelType w:val="multilevel"/>
    <w:tmpl w:val="F3CEBCD4"/>
    <w:styleLink w:val="WWNum8"/>
    <w:lvl w:ilvl="0">
      <w:numFmt w:val="bullet"/>
      <w:lvlText w:val="-"/>
      <w:lvlJc w:val="left"/>
      <w:pPr>
        <w:ind w:left="2340" w:hanging="360"/>
      </w:pPr>
      <w:rPr>
        <w:rFonts w:ascii="Tahoma" w:hAnsi="Tahoma" w:cs="Tahoma"/>
        <w:b w:val="0"/>
        <w:i w:val="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2B9D577F"/>
    <w:multiLevelType w:val="multilevel"/>
    <w:tmpl w:val="7312F208"/>
    <w:styleLink w:val="WWNum5"/>
    <w:lvl w:ilvl="0">
      <w:start w:val="1"/>
      <w:numFmt w:val="decimal"/>
      <w:lvlText w:val="%1."/>
      <w:lvlJc w:val="left"/>
      <w:pPr>
        <w:ind w:left="705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18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3257001E"/>
    <w:multiLevelType w:val="multilevel"/>
    <w:tmpl w:val="67BAA880"/>
    <w:styleLink w:val="WWNum1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46C110BC"/>
    <w:multiLevelType w:val="multilevel"/>
    <w:tmpl w:val="0D82773A"/>
    <w:styleLink w:val="WWNum3"/>
    <w:lvl w:ilvl="0">
      <w:start w:val="1"/>
      <w:numFmt w:val="decimal"/>
      <w:lvlText w:val="%1."/>
      <w:lvlJc w:val="left"/>
      <w:pPr>
        <w:ind w:left="705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18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49FF7349"/>
    <w:multiLevelType w:val="multilevel"/>
    <w:tmpl w:val="FEFEF264"/>
    <w:styleLink w:val="WWNum1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66D4C9B"/>
    <w:multiLevelType w:val="multilevel"/>
    <w:tmpl w:val="257EB5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6D03EA8"/>
    <w:multiLevelType w:val="multilevel"/>
    <w:tmpl w:val="D3282376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D2CFB"/>
    <w:multiLevelType w:val="multilevel"/>
    <w:tmpl w:val="FCB2E460"/>
    <w:styleLink w:val="WWNum2"/>
    <w:lvl w:ilvl="0">
      <w:start w:val="1"/>
      <w:numFmt w:val="decimal"/>
      <w:lvlText w:val="%1."/>
      <w:lvlJc w:val="left"/>
      <w:pPr>
        <w:ind w:left="708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18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5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7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9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1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5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7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73096271"/>
    <w:multiLevelType w:val="multilevel"/>
    <w:tmpl w:val="8496F424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6785E"/>
    <w:multiLevelType w:val="multilevel"/>
    <w:tmpl w:val="14FA12CA"/>
    <w:styleLink w:val="WWNum4"/>
    <w:lvl w:ilvl="0">
      <w:start w:val="1"/>
      <w:numFmt w:val="decimal"/>
      <w:lvlText w:val="%1."/>
      <w:lvlJc w:val="left"/>
      <w:pPr>
        <w:ind w:left="705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18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53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18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708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18"/>
          <w:szCs w:val="22"/>
          <w:u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705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18"/>
          <w:szCs w:val="22"/>
          <w:u w:val="none"/>
          <w:vertAlign w:val="baseline"/>
        </w:rPr>
      </w:lvl>
    </w:lvlOverride>
  </w:num>
  <w:num w:numId="5">
    <w:abstractNumId w:val="11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05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18"/>
          <w:szCs w:val="22"/>
          <w:u w:val="none"/>
          <w:vertAlign w:val="baseline"/>
        </w:rPr>
      </w:lvl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08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18"/>
          <w:szCs w:val="22"/>
          <w:u w:val="none"/>
          <w:vertAlign w:val="baseline"/>
        </w:rPr>
      </w:lvl>
    </w:lvlOverride>
  </w:num>
  <w:num w:numId="1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05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18"/>
          <w:szCs w:val="22"/>
          <w:u w:val="none"/>
          <w:vertAlign w:val="baseline"/>
        </w:rPr>
      </w:lvl>
    </w:lvlOverride>
  </w:num>
  <w:num w:numId="1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05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18"/>
          <w:szCs w:val="22"/>
          <w:u w:val="none"/>
          <w:vertAlign w:val="baseline"/>
        </w:rPr>
      </w:lvl>
    </w:lvlOverride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03"/>
    <w:rsid w:val="00130D3C"/>
    <w:rsid w:val="00375087"/>
    <w:rsid w:val="00592075"/>
    <w:rsid w:val="00627405"/>
    <w:rsid w:val="008D183F"/>
    <w:rsid w:val="00966883"/>
    <w:rsid w:val="00A77303"/>
    <w:rsid w:val="00B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CD8C"/>
  <w15:docId w15:val="{B702C465-073E-47D8-83FA-FB3B913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spacing w:before="480" w:after="0"/>
      <w:outlineLvl w:val="0"/>
    </w:pPr>
    <w:rPr>
      <w:rFonts w:ascii="Calibri Light" w:hAnsi="Calibri Light"/>
      <w:b/>
      <w:bCs/>
      <w:sz w:val="28"/>
      <w:szCs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spacing w:before="200" w:after="0"/>
      <w:outlineLvl w:val="1"/>
    </w:pPr>
    <w:rPr>
      <w:rFonts w:ascii="Calibri Light" w:hAnsi="Calibri Light"/>
      <w:b/>
      <w:bCs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spacing w:before="200" w:after="0" w:line="271" w:lineRule="auto"/>
      <w:outlineLvl w:val="2"/>
    </w:pPr>
    <w:rPr>
      <w:rFonts w:ascii="Calibri Light" w:hAnsi="Calibri Light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spacing w:before="200" w:after="0"/>
      <w:outlineLvl w:val="3"/>
    </w:pPr>
    <w:rPr>
      <w:rFonts w:ascii="Calibri Light" w:hAnsi="Calibri Light"/>
      <w:b/>
      <w:bCs/>
      <w:i/>
      <w:iCs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00" w:after="0"/>
      <w:outlineLvl w:val="4"/>
    </w:pPr>
    <w:rPr>
      <w:rFonts w:ascii="Calibri Light" w:hAnsi="Calibri Light"/>
      <w:b/>
      <w:bCs/>
      <w:color w:val="7F7F7F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after="0" w:line="271" w:lineRule="auto"/>
      <w:outlineLvl w:val="5"/>
    </w:pPr>
    <w:rPr>
      <w:rFonts w:ascii="Calibri Light" w:hAnsi="Calibri Light"/>
      <w:b/>
      <w:bCs/>
      <w:i/>
      <w:iCs/>
      <w:color w:val="7F7F7F"/>
    </w:rPr>
  </w:style>
  <w:style w:type="paragraph" w:styleId="Nagwek7">
    <w:name w:val="heading 7"/>
    <w:basedOn w:val="Standard"/>
    <w:next w:val="Standard"/>
    <w:pPr>
      <w:spacing w:after="0"/>
      <w:outlineLvl w:val="6"/>
    </w:pPr>
    <w:rPr>
      <w:rFonts w:ascii="Calibri Light" w:hAnsi="Calibri Light"/>
      <w:i/>
      <w:iCs/>
    </w:rPr>
  </w:style>
  <w:style w:type="paragraph" w:styleId="Nagwek8">
    <w:name w:val="heading 8"/>
    <w:basedOn w:val="Standard"/>
    <w:next w:val="Standard"/>
    <w:pPr>
      <w:spacing w:after="0"/>
      <w:outlineLvl w:val="7"/>
    </w:pPr>
    <w:rPr>
      <w:rFonts w:ascii="Calibri Light" w:hAnsi="Calibri Light"/>
      <w:sz w:val="20"/>
      <w:szCs w:val="20"/>
    </w:rPr>
  </w:style>
  <w:style w:type="paragraph" w:styleId="Nagwek9">
    <w:name w:val="heading 9"/>
    <w:basedOn w:val="Standard"/>
    <w:next w:val="Standard"/>
    <w:pPr>
      <w:spacing w:after="0"/>
      <w:outlineLvl w:val="8"/>
    </w:pPr>
    <w:rPr>
      <w:rFonts w:ascii="Calibri Light" w:hAnsi="Calibri Light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ATabela-tekst">
    <w:name w:val="A.Tabela-tekst"/>
    <w:basedOn w:val="Standard"/>
    <w:pPr>
      <w:spacing w:after="0" w:line="240" w:lineRule="auto"/>
    </w:pPr>
    <w:rPr>
      <w:rFonts w:cs="Tahoma"/>
      <w:sz w:val="20"/>
      <w:szCs w:val="20"/>
    </w:rPr>
  </w:style>
  <w:style w:type="paragraph" w:customStyle="1" w:styleId="ATabela-nagwek">
    <w:name w:val="A.Tabela-nagłówek"/>
    <w:basedOn w:val="Standard"/>
    <w:pPr>
      <w:spacing w:after="0" w:line="240" w:lineRule="auto"/>
      <w:jc w:val="center"/>
    </w:pPr>
    <w:rPr>
      <w:rFonts w:cs="Tahoma"/>
      <w:b/>
      <w:sz w:val="20"/>
      <w:szCs w:val="20"/>
    </w:rPr>
  </w:style>
  <w:style w:type="paragraph" w:customStyle="1" w:styleId="ANormalny-numerowanie1">
    <w:name w:val="A.Normalny-numerowanie1"/>
    <w:basedOn w:val="Standard"/>
    <w:pPr>
      <w:spacing w:before="120" w:after="120" w:line="240" w:lineRule="auto"/>
      <w:ind w:left="360"/>
    </w:pPr>
    <w:rPr>
      <w:rFonts w:cs="Tahoma"/>
      <w:szCs w:val="20"/>
    </w:rPr>
  </w:style>
  <w:style w:type="paragraph" w:customStyle="1" w:styleId="DefaultZnakZnak">
    <w:name w:val="Default Znak Znak"/>
    <w:rPr>
      <w:rFonts w:ascii="Arial Narrow" w:hAnsi="Arial Narrow"/>
      <w:color w:val="000000"/>
      <w:sz w:val="24"/>
      <w:szCs w:val="24"/>
    </w:rPr>
  </w:style>
  <w:style w:type="paragraph" w:styleId="Tytu">
    <w:name w:val="Title"/>
    <w:basedOn w:val="Standard"/>
    <w:next w:val="Standard"/>
    <w:uiPriority w:val="10"/>
    <w:qFormat/>
    <w:pPr>
      <w:pBdr>
        <w:bottom w:val="single" w:sz="4" w:space="1" w:color="000000"/>
      </w:pBdr>
      <w:spacing w:line="240" w:lineRule="auto"/>
    </w:pPr>
    <w:rPr>
      <w:rFonts w:ascii="Calibri Light" w:hAnsi="Calibri Light"/>
      <w:spacing w:val="5"/>
      <w:sz w:val="52"/>
      <w:szCs w:val="52"/>
    </w:r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libri Light" w:hAnsi="Calibri Light"/>
      <w:i/>
      <w:iCs/>
      <w:spacing w:val="13"/>
      <w:sz w:val="24"/>
      <w:szCs w:val="24"/>
    </w:rPr>
  </w:style>
  <w:style w:type="paragraph" w:styleId="Bezodstpw">
    <w:name w:val="No Spacing"/>
    <w:basedOn w:val="Standard"/>
    <w:pPr>
      <w:spacing w:after="0" w:line="240" w:lineRule="auto"/>
    </w:pPr>
  </w:style>
  <w:style w:type="paragraph" w:styleId="Cytat">
    <w:name w:val="Quote"/>
    <w:basedOn w:val="Standard"/>
    <w:next w:val="Standard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Standard"/>
    <w:next w:val="Standard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next w:val="Standard"/>
    <w:rPr>
      <w:lang w:bidi="en-US"/>
    </w:rPr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b/>
      <w:bCs/>
      <w:sz w:val="28"/>
      <w:szCs w:val="2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topkaZnak">
    <w:name w:val="Stopka Znak"/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DefaultZnakZnakZnak">
    <w:name w:val="Default Znak Znak Znak"/>
    <w:rPr>
      <w:rFonts w:ascii="Arial Narrow" w:eastAsia="Arial Narrow" w:hAnsi="Arial Narrow" w:cs="Arial Narrow"/>
      <w:color w:val="000000"/>
      <w:sz w:val="24"/>
      <w:szCs w:val="24"/>
    </w:rPr>
  </w:style>
  <w:style w:type="character" w:customStyle="1" w:styleId="TytuZnak">
    <w:name w:val="Tytuł Znak"/>
    <w:basedOn w:val="Domylnaczcionkaakapitu"/>
    <w:rPr>
      <w:rFonts w:ascii="Calibri Light" w:eastAsia="F" w:hAnsi="Calibri Light" w:cs="F"/>
      <w:spacing w:val="5"/>
      <w:sz w:val="52"/>
      <w:szCs w:val="5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rPr>
      <w:rFonts w:ascii="Calibri Light" w:eastAsia="F" w:hAnsi="Calibri Light" w:cs="F"/>
      <w:b/>
      <w:bCs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F" w:hAnsi="Calibri Light" w:cs="F"/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b/>
      <w:bCs/>
      <w:i/>
      <w:iCs/>
    </w:rPr>
  </w:style>
  <w:style w:type="character" w:customStyle="1" w:styleId="Nagwek5Znak">
    <w:name w:val="Nagłówek 5 Znak"/>
    <w:basedOn w:val="Domylnaczcionkaakapitu"/>
    <w:rPr>
      <w:rFonts w:ascii="Calibri Light" w:eastAsia="F" w:hAnsi="Calibri Light" w:cs="F"/>
      <w:b/>
      <w:bCs/>
      <w:color w:val="7F7F7F"/>
    </w:rPr>
  </w:style>
  <w:style w:type="character" w:customStyle="1" w:styleId="Nagwek6Znak">
    <w:name w:val="Nagłówek 6 Znak"/>
    <w:basedOn w:val="Domylnaczcionkaakapitu"/>
    <w:rPr>
      <w:rFonts w:ascii="Calibri Light" w:eastAsia="F" w:hAnsi="Calibri Light" w:cs="F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rPr>
      <w:rFonts w:ascii="Calibri Light" w:eastAsia="F" w:hAnsi="Calibri Light" w:cs="F"/>
      <w:i/>
      <w:iCs/>
    </w:rPr>
  </w:style>
  <w:style w:type="character" w:customStyle="1" w:styleId="Nagwek8Znak">
    <w:name w:val="Nagłówek 8 Znak"/>
    <w:basedOn w:val="Domylnaczcionkaakapitu"/>
    <w:rPr>
      <w:rFonts w:ascii="Calibri Light" w:eastAsia="F" w:hAnsi="Calibri Light" w:cs="F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libri Light" w:eastAsia="F" w:hAnsi="Calibri Light" w:cs="F"/>
      <w:i/>
      <w:iCs/>
      <w:spacing w:val="5"/>
      <w:sz w:val="20"/>
      <w:szCs w:val="20"/>
    </w:rPr>
  </w:style>
  <w:style w:type="character" w:customStyle="1" w:styleId="PodtytuZnak">
    <w:name w:val="Podtytuł Znak"/>
    <w:basedOn w:val="Domylnaczcionkaakapitu"/>
    <w:rPr>
      <w:rFonts w:ascii="Calibri Light" w:eastAsia="F" w:hAnsi="Calibri Light" w:cs="F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</w:style>
  <w:style w:type="character" w:customStyle="1" w:styleId="CytatZnak">
    <w:name w:val="Cytat Znak"/>
    <w:basedOn w:val="Domylnaczcionkaakapitu"/>
    <w:rPr>
      <w:i/>
      <w:iCs/>
    </w:rPr>
  </w:style>
  <w:style w:type="character" w:customStyle="1" w:styleId="CytatintensywnyZnak">
    <w:name w:val="Cytat intensywny Znak"/>
    <w:basedOn w:val="Domylnaczcionkaakapitu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character" w:customStyle="1" w:styleId="ListLabel1">
    <w:name w:val="ListLabel 1"/>
    <w:rPr>
      <w:rFonts w:ascii="Tahoma" w:eastAsia="Arial" w:hAnsi="Tahoma" w:cs="Arial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29">
    <w:name w:val="ListLabel 29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47">
    <w:name w:val="ListLabel 4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3">
    <w:name w:val="ListLabel 7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5">
    <w:name w:val="ListLabel 7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6">
    <w:name w:val="ListLabel 7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7">
    <w:name w:val="ListLabel 7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8">
    <w:name w:val="ListLabel 7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9">
    <w:name w:val="ListLabel 7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0">
    <w:name w:val="ListLabel 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1">
    <w:name w:val="ListLabel 8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2">
    <w:name w:val="ListLabel 8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4">
    <w:name w:val="ListLabel 8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5">
    <w:name w:val="ListLabel 8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6">
    <w:name w:val="ListLabel 8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8">
    <w:name w:val="ListLabel 8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9">
    <w:name w:val="ListLabel 8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0">
    <w:name w:val="ListLabel 9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1">
    <w:name w:val="ListLabel 91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92">
    <w:name w:val="ListLabel 92"/>
    <w:rPr>
      <w:rFonts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93">
    <w:name w:val="ListLabel 93"/>
    <w:rPr>
      <w:rFonts w:ascii="Tahoma" w:eastAsia="Tahoma" w:hAnsi="Tahoma" w:cs="Tahoma"/>
      <w:b w:val="0"/>
      <w:i w:val="0"/>
      <w:sz w:val="18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98">
    <w:name w:val="ListLabel 98"/>
    <w:rPr>
      <w:rFonts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99">
    <w:name w:val="ListLabel 99"/>
    <w:rPr>
      <w:rFonts w:ascii="Tahoma" w:eastAsia="Tahoma" w:hAnsi="Tahoma" w:cs="Tahoma"/>
      <w:color w:val="FF0000"/>
      <w:sz w:val="16"/>
      <w:szCs w:val="16"/>
      <w:u w:val="single" w:color="FF0000"/>
      <w:lang w:val="en-US"/>
    </w:rPr>
  </w:style>
  <w:style w:type="character" w:customStyle="1" w:styleId="ListLabel100">
    <w:name w:val="ListLabel 100"/>
    <w:rPr>
      <w:rFonts w:ascii="Tahoma" w:eastAsia="Tahoma" w:hAnsi="Tahoma" w:cs="Tahoma"/>
      <w:i/>
      <w:iCs/>
      <w:color w:val="FF0000"/>
      <w:sz w:val="16"/>
      <w:szCs w:val="16"/>
      <w:u w:val="single" w:color="FF0000"/>
      <w:lang w:val="en-US"/>
    </w:rPr>
  </w:style>
  <w:style w:type="character" w:customStyle="1" w:styleId="ListLabel101">
    <w:name w:val="ListLabel 101"/>
    <w:rPr>
      <w:rFonts w:ascii="Tahoma" w:eastAsia="Tahoma" w:hAnsi="Tahoma" w:cs="Arial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02">
    <w:name w:val="ListLabel 102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0">
    <w:name w:val="ListLabel 110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11">
    <w:name w:val="ListLabel 11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2">
    <w:name w:val="ListLabel 11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3">
    <w:name w:val="ListLabel 11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6">
    <w:name w:val="ListLabel 11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7">
    <w:name w:val="ListLabel 11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9">
    <w:name w:val="ListLabel 119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20">
    <w:name w:val="ListLabel 12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8">
    <w:name w:val="ListLabel 128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29">
    <w:name w:val="ListLabel 129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30">
    <w:name w:val="ListLabel 13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5">
    <w:name w:val="ListLabel 13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6">
    <w:name w:val="ListLabel 13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7">
    <w:name w:val="ListLabel 137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38">
    <w:name w:val="ListLabel 13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9">
    <w:name w:val="ListLabel 13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0">
    <w:name w:val="ListLabel 14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1">
    <w:name w:val="ListLabel 14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2">
    <w:name w:val="ListLabel 14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3">
    <w:name w:val="ListLabel 143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5">
    <w:name w:val="ListLabel 14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6">
    <w:name w:val="ListLabel 146"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18"/>
      <w:szCs w:val="22"/>
      <w:u w:val="none"/>
      <w:vertAlign w:val="baseline"/>
    </w:rPr>
  </w:style>
  <w:style w:type="character" w:customStyle="1" w:styleId="ListLabel147">
    <w:name w:val="ListLabel 147"/>
    <w:rPr>
      <w:rFonts w:ascii="Tahoma" w:eastAsia="Tahoma" w:hAnsi="Tahoma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148">
    <w:name w:val="ListLabel 148"/>
    <w:rPr>
      <w:rFonts w:ascii="Tahoma" w:eastAsia="Tahoma" w:hAnsi="Tahoma" w:cs="Tahoma"/>
      <w:b w:val="0"/>
      <w:i w:val="0"/>
      <w:sz w:val="18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ascii="Tahoma" w:eastAsia="Tahoma" w:hAnsi="Tahoma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19"/>
      </w:numPr>
    </w:pPr>
  </w:style>
  <w:style w:type="numbering" w:customStyle="1" w:styleId="WWNum3">
    <w:name w:val="WWNum3"/>
    <w:basedOn w:val="Bezlisty"/>
    <w:pPr>
      <w:numPr>
        <w:numId w:val="18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J.Blazej</dc:creator>
  <cp:lastModifiedBy>Joanna Błażej</cp:lastModifiedBy>
  <cp:revision>4</cp:revision>
  <cp:lastPrinted>2020-05-21T08:46:00Z</cp:lastPrinted>
  <dcterms:created xsi:type="dcterms:W3CDTF">2020-05-18T11:02:00Z</dcterms:created>
  <dcterms:modified xsi:type="dcterms:W3CDTF">2020-05-21T09:09:00Z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